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821" w:rsidRDefault="00F42821" w:rsidP="00CC0AFC"/>
    <w:p w:rsidR="00CC0AFC" w:rsidRDefault="00F42821" w:rsidP="007E5953">
      <w:pPr>
        <w:pStyle w:val="Nagwek1"/>
      </w:pPr>
      <w:r w:rsidRPr="00F42821">
        <w:t>Instalacja społeczna – projekt wykonawczy</w:t>
      </w:r>
    </w:p>
    <w:p w:rsidR="007E5953" w:rsidRPr="007E5953" w:rsidRDefault="007E5953" w:rsidP="007E5953"/>
    <w:p w:rsidR="007E5953" w:rsidRDefault="007E5953" w:rsidP="007E5953">
      <w:pPr>
        <w:pStyle w:val="Akapitzlist"/>
        <w:numPr>
          <w:ilvl w:val="0"/>
          <w:numId w:val="1"/>
        </w:numPr>
        <w:ind w:left="284" w:hanging="284"/>
      </w:pPr>
      <w:r>
        <w:t>Koncepcja formy z oświetleniem – talerze LED na słupach stalowych</w:t>
      </w:r>
    </w:p>
    <w:p w:rsidR="00CC0AFC" w:rsidRDefault="00CC0AFC" w:rsidP="007E5953">
      <w:pPr>
        <w:pStyle w:val="Akapitzlist"/>
      </w:pPr>
    </w:p>
    <w:p w:rsidR="00CC0AFC" w:rsidRDefault="00CC0AFC" w:rsidP="00CC0AFC">
      <w:r>
        <w:rPr>
          <w:noProof/>
          <w:lang w:eastAsia="pl-PL"/>
        </w:rPr>
        <w:drawing>
          <wp:inline distT="0" distB="0" distL="0" distR="0" wp14:anchorId="30AA39B4" wp14:editId="0D747B92">
            <wp:extent cx="4772025" cy="5864540"/>
            <wp:effectExtent l="0" t="0" r="0" b="3175"/>
            <wp:docPr id="12" name="Obraz 12" descr="Rysunek przedstawia dwie grafiki.Grafika znajdująca się powyżej przedstawia nierównomierne skupisko okragłych gablot o różnej średnicy oraz 5 lamp, których abażury przypominają kształtem płaskie talerze. Wieka gablot są w dwóch klorach: niebieskim i ceglanym. Trzony gblot są w kolorze beżowym. Grafika znajdująca się poniżej również przedstawia skupisko gablot - widok z boku." title="Koncepcja formy z oświetleniem – talerze LED na słupach stal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8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D0" w:rsidRDefault="008876D0" w:rsidP="00CC0AFC"/>
    <w:p w:rsidR="008876D0" w:rsidRDefault="008876D0" w:rsidP="00CC0AFC"/>
    <w:p w:rsidR="008876D0" w:rsidRDefault="008876D0" w:rsidP="00CC0AFC"/>
    <w:p w:rsidR="008876D0" w:rsidRDefault="008876D0" w:rsidP="00CC0AFC"/>
    <w:p w:rsidR="008876D0" w:rsidRDefault="008876D0" w:rsidP="00CC0AFC"/>
    <w:p w:rsidR="007E5953" w:rsidRDefault="007E5953" w:rsidP="007E5953">
      <w:pPr>
        <w:pStyle w:val="Akapitzlist"/>
        <w:numPr>
          <w:ilvl w:val="0"/>
          <w:numId w:val="1"/>
        </w:numPr>
        <w:ind w:left="284" w:hanging="284"/>
      </w:pPr>
      <w:r>
        <w:t>Rozwiązanie kolorystyczne podstawowych modułów</w:t>
      </w:r>
    </w:p>
    <w:p w:rsidR="00CC0AFC" w:rsidRDefault="00CC0AFC" w:rsidP="00CC0AFC">
      <w:r>
        <w:rPr>
          <w:noProof/>
          <w:lang w:eastAsia="pl-PL"/>
        </w:rPr>
        <w:drawing>
          <wp:inline distT="0" distB="0" distL="0" distR="0" wp14:anchorId="48B546F6" wp14:editId="6D702AAC">
            <wp:extent cx="4400550" cy="3552825"/>
            <wp:effectExtent l="0" t="0" r="0" b="9525"/>
            <wp:docPr id="13" name="Obraz 13" descr="Grafika przedstawia 3 kolumny kół - symbolizujących okrągłe gabloty - rzut z góry.W każdej kolumnie znajdują się trzy koła. Najwyżej znajdują się najmniejsze, o średnicy 30 cm. W  środku średnie o średnicy 50 cm. Na dole największe, o średnicy 70 cm.&#10;Koła w każdej kolumnie są innego koloru. W pierwszej niebieskie (CMYK 95/88/0/0), w drugiej ceglane (CMYK 7/7/6/10), w trzeciej kolumnie są białe (gablota podświetlana)." title="Rozwiązanie kolorystyczne podstawowych moduł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D0" w:rsidRDefault="008876D0" w:rsidP="00CC0AFC"/>
    <w:p w:rsidR="008876D0" w:rsidRDefault="008876D0" w:rsidP="00CC0AFC"/>
    <w:p w:rsidR="00CC0AFC" w:rsidRDefault="00CF0880" w:rsidP="00CF0880">
      <w:pPr>
        <w:pStyle w:val="Akapitzlist"/>
        <w:numPr>
          <w:ilvl w:val="0"/>
          <w:numId w:val="1"/>
        </w:numPr>
        <w:ind w:left="426" w:hanging="426"/>
      </w:pPr>
      <w:r>
        <w:t>Rozwiązanie materiałowe gablot</w:t>
      </w:r>
    </w:p>
    <w:p w:rsidR="00CC0AFC" w:rsidRDefault="00CC0AFC" w:rsidP="00CC0AFC">
      <w:r>
        <w:rPr>
          <w:noProof/>
          <w:lang w:eastAsia="pl-PL"/>
        </w:rPr>
        <w:drawing>
          <wp:inline distT="0" distB="0" distL="0" distR="0" wp14:anchorId="03220A7D" wp14:editId="4BF91694">
            <wp:extent cx="5762625" cy="2447925"/>
            <wp:effectExtent l="0" t="0" r="9525" b="9525"/>
            <wp:docPr id="14" name="Obraz 14" descr="Rysunek przedstawia okrągłą gablotę, w której są się trzy książki. Książka na wiezchu jest szara, książka w środku jest różowa, ta na dole siwa. Gablota wewnątrz jest biała. Trzon gabloty jest beżowy.&#10;Kołnież jest wykonany z tektury falistej. Wewnątrz wklejka z kolorowej tekstur, na niej nadruk tekstu. Ksiązki leżą na okręgu z mlecznej, podświetlanej LED pleksi / półce z MDF i tektury w kolorze. Przekrycie gabloty jest z poliwęglanu, a tuleja z tektury spiralnej." title="Rozwiązanie materiałowe ga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FC" w:rsidRDefault="00CC0AFC" w:rsidP="00CC0AFC"/>
    <w:p w:rsidR="00CC0AFC" w:rsidRDefault="00CC0AFC" w:rsidP="00CC0AFC"/>
    <w:p w:rsidR="00CF0880" w:rsidRDefault="00CF0880" w:rsidP="00CC0AFC"/>
    <w:p w:rsidR="00CF0880" w:rsidRDefault="008876D0" w:rsidP="00CF0880">
      <w:r>
        <w:lastRenderedPageBreak/>
        <w:t xml:space="preserve">4. </w:t>
      </w:r>
      <w:r w:rsidR="00CF0880">
        <w:t>Rozwiązanie tekstu w gablocie</w:t>
      </w:r>
    </w:p>
    <w:p w:rsidR="00CC0AFC" w:rsidRDefault="00CC0AFC" w:rsidP="00CC0AFC">
      <w:r>
        <w:rPr>
          <w:noProof/>
          <w:lang w:eastAsia="pl-PL"/>
        </w:rPr>
        <w:drawing>
          <wp:inline distT="0" distB="0" distL="0" distR="0" wp14:anchorId="2DE41C50" wp14:editId="231EECCD">
            <wp:extent cx="5753100" cy="3105150"/>
            <wp:effectExtent l="114300" t="114300" r="152400" b="152400"/>
            <wp:docPr id="15" name="Obraz 15" descr="Grafika przedstawia dwa bloki tekstu, wyjaśniające jak mają wyglądać. Górny blok tekstu (obiekty przedwojenne) jest wykonany pogrubionym, szeryfowym fontem - Nocturne Serif. Dolny tekst (obiekty powojenne) ma zwykły, bezszeryfowy font - Rewir." title="Rozwiązanie tekstu w gablo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0880" w:rsidRDefault="00CF0880" w:rsidP="00CF0880">
      <w:pPr>
        <w:pStyle w:val="Akapitzlist"/>
        <w:numPr>
          <w:ilvl w:val="0"/>
          <w:numId w:val="1"/>
        </w:numPr>
        <w:ind w:left="284" w:hanging="284"/>
      </w:pPr>
      <w:r>
        <w:t>Koncepcja rozwiązania gablot</w:t>
      </w:r>
    </w:p>
    <w:p w:rsidR="00CC0AFC" w:rsidRDefault="00CC0AFC" w:rsidP="00CF0880">
      <w:pPr>
        <w:ind w:left="284" w:hanging="284"/>
      </w:pPr>
      <w:r>
        <w:rPr>
          <w:noProof/>
          <w:lang w:eastAsia="pl-PL"/>
        </w:rPr>
        <w:drawing>
          <wp:inline distT="0" distB="0" distL="0" distR="0" wp14:anchorId="746F2FBD" wp14:editId="6887597F">
            <wp:extent cx="4400550" cy="2847975"/>
            <wp:effectExtent l="0" t="0" r="0" b="9525"/>
            <wp:docPr id="16" name="Obraz 16" descr="Grafika przedstawia trzy, skośnie ustawione, rzędy okragłych gablot. Po lewej stronie trzy gabloty z niebieskimi wiekami. W z wiekami w kolorze ceglanym, po prawej gabloty z wiekami białymi. Trzony gablot są beżowe. Gabloty na samej górze mają najmniejszą średnicę, gabloty środkowe są średnie, gabloty znajdujące się najbliżej mają największą średnicę." title="Koncepcja rozwiązania ga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FC" w:rsidRDefault="00CC0AFC" w:rsidP="00CC0AFC">
      <w:r>
        <w:t xml:space="preserve">Kolor wnętrza gabloty odpowiada datowaniu umieszczonego obiektu – analogicznie do użycia koloru w projekcie wystawy czasowej </w:t>
      </w:r>
      <w:proofErr w:type="spellStart"/>
      <w:r>
        <w:t>Tatemono</w:t>
      </w:r>
      <w:proofErr w:type="spellEnd"/>
    </w:p>
    <w:p w:rsidR="00CC0AFC" w:rsidRDefault="00CC0AFC" w:rsidP="00CC0AFC"/>
    <w:p w:rsidR="00CC0AFC" w:rsidRDefault="00CC0AFC" w:rsidP="00CC0AFC">
      <w:r>
        <w:t xml:space="preserve"> </w:t>
      </w:r>
    </w:p>
    <w:p w:rsidR="00597F38" w:rsidRDefault="00597F38" w:rsidP="00CC0AFC"/>
    <w:p w:rsidR="00597F38" w:rsidRDefault="00597F38" w:rsidP="00CC0AFC"/>
    <w:p w:rsidR="00597F38" w:rsidRDefault="00597F38" w:rsidP="00597F38">
      <w:pPr>
        <w:pStyle w:val="Akapitzlist"/>
        <w:numPr>
          <w:ilvl w:val="0"/>
          <w:numId w:val="1"/>
        </w:numPr>
        <w:ind w:left="284" w:hanging="284"/>
      </w:pPr>
      <w:r>
        <w:lastRenderedPageBreak/>
        <w:t>Koncepcja rozwiązania gablot – różnicowanie głębokości względem obiektów</w:t>
      </w:r>
    </w:p>
    <w:p w:rsidR="00CC0AFC" w:rsidRDefault="00EB39CF" w:rsidP="00597F38">
      <w:r>
        <w:rPr>
          <w:noProof/>
          <w:lang w:eastAsia="pl-PL"/>
        </w:rPr>
        <w:drawing>
          <wp:inline distT="0" distB="0" distL="0" distR="0" wp14:anchorId="0BE4B461" wp14:editId="5FE8928D">
            <wp:extent cx="4848225" cy="2886075"/>
            <wp:effectExtent l="0" t="0" r="9525" b="9525"/>
            <wp:docPr id="17" name="Obraz 17" descr="Trzy gabloty ustawione obok siebie, okrągłe z białymi wiekami. Trzony gablot są w kolorze beżowym. W gablocie po lewej znajdują się trzy ksiażki. W gablocie w środku znajduje się czajnik. W gablocie po prawej znajduje się wazon. " title="Koncepcja rozwiązania gablot – różnicowanie głębokości względem obi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FC" w:rsidRDefault="00CC0AFC" w:rsidP="00CC0AFC">
      <w:r>
        <w:t>Średnica gabloty i głębokość jej wnętrza odpowiada gabarytom umieszczonego obiektu</w:t>
      </w:r>
    </w:p>
    <w:p w:rsidR="00CC0AFC" w:rsidRDefault="00CC0AFC" w:rsidP="00CC0AFC"/>
    <w:p w:rsidR="00E25993" w:rsidRDefault="00E25993" w:rsidP="00CC0AFC"/>
    <w:p w:rsidR="00CC0AFC" w:rsidRDefault="008876D0" w:rsidP="00CC0AFC">
      <w:r>
        <w:t>7.</w:t>
      </w:r>
      <w:r w:rsidR="00597F38" w:rsidRPr="00597F38">
        <w:t xml:space="preserve"> </w:t>
      </w:r>
      <w:r w:rsidR="00597F38">
        <w:t xml:space="preserve"> </w:t>
      </w:r>
      <w:r w:rsidR="00597F38" w:rsidRPr="00597F38">
        <w:t>Koncepcja rozwiązania gablot – etapowanie</w:t>
      </w:r>
    </w:p>
    <w:p w:rsidR="00CC0AFC" w:rsidRDefault="00CC0AFC" w:rsidP="00CC0AFC">
      <w:r>
        <w:rPr>
          <w:noProof/>
          <w:lang w:eastAsia="pl-PL"/>
        </w:rPr>
        <w:drawing>
          <wp:inline distT="0" distB="0" distL="0" distR="0" wp14:anchorId="35EB033E" wp14:editId="13E833A6">
            <wp:extent cx="5753100" cy="2809875"/>
            <wp:effectExtent l="0" t="0" r="0" b="9525"/>
            <wp:docPr id="18" name="Obraz 18" descr="Rysunek przedstawia dwie grafiki. Po lewej stronie znajduje się skupisko okragłych gablot o różnej średnicy, których wieka są w dwóch kolorach ceglanym i białym. Trzony gablot są w kolorze beżowym. W gablotach znajdują się różne przedmioty, np. koszula, kapcie, wazon. &#10;Rysunek po prawej stronie przedstawia większe skupisko okrągłych gablot o różnej średnicy, których wieka są w trzech kolorach - białym, ceglanym i niebieskim. Trzony gablot są w kolorze beżowym. W gablotach znajdują się różne przedmioty, np. zdjęcie, wazon, koszula, teczka." title="Koncepcja rozwiązania gablot – etap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FC" w:rsidRDefault="00CC0AFC" w:rsidP="00CC0AFC"/>
    <w:p w:rsidR="00CC0AFC" w:rsidRDefault="00CC0AFC" w:rsidP="00CC0AFC"/>
    <w:p w:rsidR="00CC0AFC" w:rsidRDefault="00CC0AFC" w:rsidP="00CC0AFC"/>
    <w:p w:rsidR="00EB39CF" w:rsidRDefault="00EB39CF" w:rsidP="00CC0AFC"/>
    <w:p w:rsidR="00EB39CF" w:rsidRDefault="00EB39CF" w:rsidP="00CC0AFC"/>
    <w:p w:rsidR="00EB39CF" w:rsidRDefault="008876D0" w:rsidP="00EB39CF">
      <w:pPr>
        <w:ind w:left="284" w:hanging="284"/>
      </w:pPr>
      <w:r>
        <w:t>8.</w:t>
      </w:r>
      <w:r w:rsidR="00EB39CF">
        <w:t xml:space="preserve"> Koncepcja rozwiązania gablot – etapowanie </w:t>
      </w:r>
    </w:p>
    <w:p w:rsidR="00CC0AFC" w:rsidRDefault="00CC0AFC" w:rsidP="00CC0AFC">
      <w:r>
        <w:rPr>
          <w:noProof/>
          <w:lang w:eastAsia="pl-PL"/>
        </w:rPr>
        <w:drawing>
          <wp:inline distT="0" distB="0" distL="0" distR="0" wp14:anchorId="4E121DC7" wp14:editId="280D3728">
            <wp:extent cx="5753100" cy="2790825"/>
            <wp:effectExtent l="0" t="0" r="0" b="9525"/>
            <wp:docPr id="19" name="Obraz 19" descr="Rysunek przedstawia dwie grafiki. Po lewej stronie znajduje się skupisko okągłych gablot - widok z boku. Trzony gablot są w kolorze beżowym. &#10;Rysunek znajdujący się po prawej stronie przedstawia większe skupisko okrągłych gablot - widok z boku. Trzony gablot są w kolorze beżowym. " title="Koncepcja rozwiązania gablot - etap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D0" w:rsidRDefault="008876D0" w:rsidP="00CC0AFC"/>
    <w:p w:rsidR="008876D0" w:rsidRDefault="008876D0" w:rsidP="00CC0AFC"/>
    <w:p w:rsidR="00EB39CF" w:rsidRDefault="008876D0" w:rsidP="00EB39CF">
      <w:r>
        <w:t>9.</w:t>
      </w:r>
      <w:r w:rsidR="00EB39CF">
        <w:t xml:space="preserve"> Koncepcja rozwiązania gablot</w:t>
      </w:r>
    </w:p>
    <w:p w:rsidR="00CC0AFC" w:rsidRDefault="00CC0AFC" w:rsidP="00CC0AFC">
      <w:r>
        <w:rPr>
          <w:noProof/>
          <w:lang w:eastAsia="pl-PL"/>
        </w:rPr>
        <w:drawing>
          <wp:inline distT="0" distB="0" distL="0" distR="0" wp14:anchorId="1E09C789" wp14:editId="7838899D">
            <wp:extent cx="4905375" cy="3143250"/>
            <wp:effectExtent l="0" t="0" r="9525" b="0"/>
            <wp:docPr id="20" name="Obraz 20" descr="Rysunek przedstawia skupisko okrągłych gablot o różnej średnicy, których wieka są w trzech kolorach - białym, ceglanym i niebieskim. trzony gablot są w kolorze beżowym. W gablotach znajdują się różne przedmioty, np. zdjęcie, wazon, koszula, teczka. " title="Koncepcja rozwiązania ga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CB" w:rsidRDefault="00B671CB" w:rsidP="00CC0AFC"/>
    <w:p w:rsidR="00EB39CF" w:rsidRDefault="00EB39CF" w:rsidP="00CC0AFC"/>
    <w:p w:rsidR="00EB39CF" w:rsidRDefault="00EB39CF" w:rsidP="00CC0AFC"/>
    <w:p w:rsidR="00EB39CF" w:rsidRDefault="00EB39CF" w:rsidP="00CC0AFC"/>
    <w:p w:rsidR="00B671CB" w:rsidRDefault="008876D0" w:rsidP="00CC0AFC">
      <w:r>
        <w:t>10.</w:t>
      </w:r>
      <w:r w:rsidR="00EB39CF">
        <w:t xml:space="preserve"> Wykonywanie gablot</w:t>
      </w:r>
    </w:p>
    <w:p w:rsidR="00B671CB" w:rsidRDefault="00B671CB" w:rsidP="00CC0AFC">
      <w:r>
        <w:rPr>
          <w:noProof/>
          <w:lang w:eastAsia="pl-PL"/>
        </w:rPr>
        <w:drawing>
          <wp:inline distT="0" distB="0" distL="0" distR="0" wp14:anchorId="2C044ABE" wp14:editId="3BB4147E">
            <wp:extent cx="5467350" cy="6162675"/>
            <wp:effectExtent l="0" t="0" r="0" b="9525"/>
            <wp:docPr id="21" name="Obraz 21" descr="Rysunek przedstawia skupisko okrągłych gablot o różnych średnicach, których wieka są w trzech kolorach - białym, ceglanym i niebieskim. Trzony gablot są w kolorze beżowym. W gablotach znajdują się różne przedmioty, np. zdjęcie, imbryk, dzbanek, widelec, kubeczki, kapcie, pocztówki, samolot z papieru.&#10;Tworzenie &quot;symbolu wykonawczego&quot; gablot:&#10;obiekt / gablota: szerokość / średnica (30/50/70 cm), wysokość / głębokość (wys. obiektu + 4cm), wiek i atrakcyjność / kolor i podświetlenie (N, C, B, &#10;przykładowe symbole: G.70.29.B - czajnik, G.15.07.34.N - poduszka na szpilki, G.50.34.N - dzban)" title="Wykonanie ga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CB" w:rsidRDefault="00B671CB" w:rsidP="00CC0AFC"/>
    <w:p w:rsidR="00B671CB" w:rsidRDefault="00B671CB" w:rsidP="00CC0AFC"/>
    <w:p w:rsidR="00B671CB" w:rsidRDefault="00B671CB" w:rsidP="00CC0AFC"/>
    <w:p w:rsidR="00B671CB" w:rsidRDefault="00B671CB" w:rsidP="00CC0AFC"/>
    <w:p w:rsidR="00B671CB" w:rsidRDefault="00B671CB" w:rsidP="00CC0AFC"/>
    <w:p w:rsidR="00B671CB" w:rsidRDefault="00B671CB" w:rsidP="00CC0AFC"/>
    <w:p w:rsidR="00036E62" w:rsidRDefault="00036E62" w:rsidP="00CC0AFC"/>
    <w:p w:rsidR="00036E62" w:rsidRDefault="008876D0" w:rsidP="00036E62">
      <w:r>
        <w:t>11.</w:t>
      </w:r>
      <w:r w:rsidR="00036E62">
        <w:t xml:space="preserve"> Koncepcja rozwiązania gablot – etapowanie rzutu</w:t>
      </w:r>
    </w:p>
    <w:p w:rsidR="00B671CB" w:rsidRDefault="00B671CB" w:rsidP="00CC0AFC">
      <w:r>
        <w:rPr>
          <w:noProof/>
          <w:lang w:eastAsia="pl-PL"/>
        </w:rPr>
        <w:drawing>
          <wp:inline distT="0" distB="0" distL="0" distR="0" wp14:anchorId="06830BD4" wp14:editId="6C6986A0">
            <wp:extent cx="5753100" cy="5010150"/>
            <wp:effectExtent l="0" t="0" r="0" b="0"/>
            <wp:docPr id="22" name="Obraz 22" descr="Rysunek przedstawia dwie grafiki. Grafika po lewej stronie prezentuje skupsiko okragłych gablot o różnej średnicy - rzut z góry, których wieka są w dwóch kolorach ceglanym i białym. W gablotach znajdują się różne przedmioty, np. koszula, kapcie, imbryk. Rysunek po prawej stronie przedstawia większe skupisko okrągłych gablot o różnej średnicy - rzut z góry, których wieka są w trzech kolorach - białym, ceglanym i niebieskim. W gablotach znajdują się różne przedmioty, np. zdjęcie, wazon, koszula teczka." title="Koncepcja rozwiązania gablot - etapowanie rz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CB" w:rsidRDefault="00B671CB" w:rsidP="00CC0AFC"/>
    <w:p w:rsidR="008876D0" w:rsidRDefault="008876D0" w:rsidP="00CC0AFC"/>
    <w:p w:rsidR="008876D0" w:rsidRDefault="008876D0" w:rsidP="00CC0AFC"/>
    <w:p w:rsidR="008876D0" w:rsidRDefault="008876D0" w:rsidP="00CC0AFC"/>
    <w:p w:rsidR="008876D0" w:rsidRDefault="008876D0" w:rsidP="00CC0AFC"/>
    <w:p w:rsidR="008876D0" w:rsidRDefault="008876D0" w:rsidP="00CC0AFC"/>
    <w:p w:rsidR="008876D0" w:rsidRDefault="008876D0" w:rsidP="00CC0AFC"/>
    <w:p w:rsidR="008876D0" w:rsidRDefault="008876D0" w:rsidP="00CC0AFC"/>
    <w:p w:rsidR="008876D0" w:rsidRDefault="008876D0" w:rsidP="00CC0AFC"/>
    <w:p w:rsidR="008876D0" w:rsidRDefault="008876D0" w:rsidP="00CC0AFC"/>
    <w:p w:rsidR="008876D0" w:rsidRDefault="008876D0" w:rsidP="00CC0AFC">
      <w:pPr>
        <w:sectPr w:rsidR="008876D0" w:rsidSect="00190D4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05C27" w:rsidRDefault="008876D0" w:rsidP="00B05C27">
      <w:r>
        <w:lastRenderedPageBreak/>
        <w:t>12.</w:t>
      </w:r>
      <w:r w:rsidR="00B05C27">
        <w:t xml:space="preserve"> Maksymalna liczba elementów instalacji</w:t>
      </w:r>
    </w:p>
    <w:p w:rsidR="00B671CB" w:rsidRDefault="00B671CB" w:rsidP="008876D0">
      <w:pPr>
        <w:ind w:left="-709"/>
      </w:pPr>
      <w:r>
        <w:rPr>
          <w:noProof/>
          <w:lang w:eastAsia="pl-PL"/>
        </w:rPr>
        <w:drawing>
          <wp:inline distT="0" distB="0" distL="0" distR="0" wp14:anchorId="2A5735D5" wp14:editId="6EB8F415">
            <wp:extent cx="9937173" cy="4162425"/>
            <wp:effectExtent l="0" t="0" r="6985" b="0"/>
            <wp:docPr id="23" name="Obraz 23" descr="Rysunek przedstawia rozstawienie gablot w 2 wariantach. &#10;Koła ułożone są w 8 rzędach odpowiadajacym liczbie gablot, które mają zostać wyprodukowane odpowiednio w wariancie A i B po 4 rzędy na każdy wariant. &#10;Od góry rząd kół o śr. 30 cm, 50 cm, 70 cm i 50 cm.&#10;Wariant A (ułożenie gablot od góry): 26 szt. gablot o śr. 30 cm, 19 szt. gablot  o śr. 50 cm, 9 szt. gablot o średnicy 70 cm i 1 gablota informacyjna o śr. 50 cm - razem 55 szt.&#10;Wariant B (ułożenie gablot od góry): 41 szt. gablot o śr. 30 cm, 24 szt. gablot o śr. 50 cm, 14 szt. gablot o śr. 70 cm, 1 gablota informacyjna o śr. 50 cm - razem 80 szt." title="Maksymalna liczba elementów instl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382" cy="416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D0" w:rsidRDefault="008876D0" w:rsidP="00CC0AFC"/>
    <w:p w:rsidR="008876D0" w:rsidRDefault="008876D0" w:rsidP="00CC0AFC"/>
    <w:p w:rsidR="008876D0" w:rsidRDefault="008876D0" w:rsidP="00CC0AFC">
      <w:pPr>
        <w:sectPr w:rsidR="008876D0" w:rsidSect="008876D0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B05C27" w:rsidRDefault="008876D0" w:rsidP="00B05C27">
      <w:r>
        <w:lastRenderedPageBreak/>
        <w:t>13.</w:t>
      </w:r>
      <w:r w:rsidR="00B05C27">
        <w:t xml:space="preserve"> Rzut sytuacyjny – etap I </w:t>
      </w:r>
    </w:p>
    <w:p w:rsidR="00B671CB" w:rsidRDefault="00B671CB" w:rsidP="00CC0AFC">
      <w:r>
        <w:rPr>
          <w:noProof/>
          <w:lang w:eastAsia="pl-PL"/>
        </w:rPr>
        <w:drawing>
          <wp:inline distT="0" distB="0" distL="0" distR="0" wp14:anchorId="25670EB9" wp14:editId="7DAC8AC6">
            <wp:extent cx="5753100" cy="2543175"/>
            <wp:effectExtent l="0" t="0" r="0" b="9525"/>
            <wp:docPr id="24" name="Obraz 24" descr="Grafika przedstawia skupisko 21 kół symblizujących okrągłe gabloty, o różnej średnicy - rzut z góry. Gaboty stoją w holu muzeum." title="Rzut sytuacyjny - etap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C27" w:rsidRDefault="008876D0" w:rsidP="00B05C27">
      <w:r>
        <w:t>14.</w:t>
      </w:r>
      <w:r w:rsidR="00B05C27">
        <w:t xml:space="preserve"> Rzut sytuacyjny – etap II</w:t>
      </w:r>
    </w:p>
    <w:p w:rsidR="00B671CB" w:rsidRDefault="00B671CB" w:rsidP="00CC0AFC">
      <w:r>
        <w:rPr>
          <w:noProof/>
          <w:lang w:eastAsia="pl-PL"/>
        </w:rPr>
        <w:drawing>
          <wp:inline distT="0" distB="0" distL="0" distR="0" wp14:anchorId="5F54CE48" wp14:editId="537A7FD7">
            <wp:extent cx="5762625" cy="2543175"/>
            <wp:effectExtent l="0" t="0" r="9525" b="9525"/>
            <wp:docPr id="25" name="Obraz 25" descr="Grafika przedstawia skupisko 42 kół symblizujących okrągłe gabloty, o różnej średnicy - rzut z góry. Gabloty stoją w holu muzeum." title="Rzut sytuacyjny – etap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93" w:rsidRDefault="00E25993" w:rsidP="00B05C27"/>
    <w:p w:rsidR="00E25993" w:rsidRDefault="00E25993" w:rsidP="00B05C27"/>
    <w:p w:rsidR="00E25993" w:rsidRDefault="00E25993" w:rsidP="00B05C27"/>
    <w:p w:rsidR="00E25993" w:rsidRDefault="00E25993" w:rsidP="00B05C27"/>
    <w:p w:rsidR="00E25993" w:rsidRDefault="00E25993" w:rsidP="00B05C27"/>
    <w:p w:rsidR="00E25993" w:rsidRDefault="00E25993" w:rsidP="00B05C27"/>
    <w:p w:rsidR="00E25993" w:rsidRDefault="00E25993" w:rsidP="00B05C27"/>
    <w:p w:rsidR="00E25993" w:rsidRDefault="00E25993" w:rsidP="00B05C27"/>
    <w:p w:rsidR="00E25993" w:rsidRDefault="00E25993" w:rsidP="00B05C27"/>
    <w:p w:rsidR="00B05C27" w:rsidRDefault="008876D0" w:rsidP="00B05C27">
      <w:r>
        <w:lastRenderedPageBreak/>
        <w:t>15.</w:t>
      </w:r>
      <w:r w:rsidR="00B05C27">
        <w:t xml:space="preserve"> Rzut sytuacyjny – etap III</w:t>
      </w:r>
    </w:p>
    <w:p w:rsidR="00B671CB" w:rsidRDefault="00B671CB" w:rsidP="00CC0AFC">
      <w:r>
        <w:rPr>
          <w:noProof/>
          <w:lang w:eastAsia="pl-PL"/>
        </w:rPr>
        <w:drawing>
          <wp:inline distT="0" distB="0" distL="0" distR="0" wp14:anchorId="1D873339" wp14:editId="66C4DC8F">
            <wp:extent cx="5753100" cy="2533650"/>
            <wp:effectExtent l="0" t="0" r="0" b="0"/>
            <wp:docPr id="26" name="Obraz 26" descr="Grafika przedstawia skupisko 63 kół symblizujących okrągłe gabloty, o różnej średnicy - rzut z góry. Gabloty stoją w holu muzeum." title="Rzut sytuacyjny – etap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C27" w:rsidRDefault="008876D0" w:rsidP="00B05C27">
      <w:r>
        <w:t>16.</w:t>
      </w:r>
      <w:r w:rsidR="00B05C27">
        <w:t xml:space="preserve"> Widok instalacji we wnętrzu</w:t>
      </w:r>
    </w:p>
    <w:p w:rsidR="008876D0" w:rsidRDefault="008876D0" w:rsidP="00B671CB"/>
    <w:p w:rsidR="00B671CB" w:rsidRDefault="00B671CB" w:rsidP="00B671CB">
      <w:r>
        <w:rPr>
          <w:noProof/>
          <w:lang w:eastAsia="pl-PL"/>
        </w:rPr>
        <w:drawing>
          <wp:inline distT="0" distB="0" distL="0" distR="0" wp14:anchorId="294E4566" wp14:editId="3AC91FAA">
            <wp:extent cx="5753100" cy="4181475"/>
            <wp:effectExtent l="0" t="0" r="0" b="9525"/>
            <wp:docPr id="27" name="Obraz 27" descr="Grafika przedstawia hol muzeum, w którym, pod oknem ustawione są okrągłe gabloty. Wizualizacja." title="Widok instalacji we wnętr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D0" w:rsidRDefault="008876D0" w:rsidP="00B671CB"/>
    <w:p w:rsidR="008876D0" w:rsidRDefault="008876D0" w:rsidP="00B671CB"/>
    <w:p w:rsidR="008876D0" w:rsidRDefault="008876D0" w:rsidP="00B671CB">
      <w:pPr>
        <w:sectPr w:rsidR="008876D0" w:rsidSect="008876D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876D0" w:rsidRDefault="008876D0" w:rsidP="00B671CB">
      <w:r>
        <w:lastRenderedPageBreak/>
        <w:t>17.</w:t>
      </w:r>
      <w:r>
        <w:rPr>
          <w:noProof/>
          <w:lang w:eastAsia="pl-PL"/>
        </w:rPr>
        <w:drawing>
          <wp:inline distT="0" distB="0" distL="0" distR="0" wp14:anchorId="340E448B" wp14:editId="22685CCB">
            <wp:extent cx="7200900" cy="5579507"/>
            <wp:effectExtent l="0" t="0" r="0" b="2540"/>
            <wp:docPr id="28" name="Obraz 28" descr="Przekrój 1 przez walcowatą gablotę (we wszystkich średnicach: 30cm, 50cm i 70 cm) - materiały&#10;Od góry: poliwęglan o gr. 6mm; kołnież z tektury falistej dwuwarstwowej o gr. 7mm wg detalu D1; podkłądka z tektury w kolorze o gr. 1mm; płyta mdf surowa o gr. 12mm; tujela tekturowa spiralna o gr 6mm; obciążene obiektu - worek z piaskiem; pływa mdf surowa o gr 18mm; pływa gumowa EPDM gr. 6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99" cy="559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CB" w:rsidRDefault="008876D0" w:rsidP="00B671CB">
      <w:r>
        <w:lastRenderedPageBreak/>
        <w:t>18.</w:t>
      </w:r>
      <w:r w:rsidR="00B671CB">
        <w:rPr>
          <w:noProof/>
          <w:lang w:eastAsia="pl-PL"/>
        </w:rPr>
        <w:drawing>
          <wp:inline distT="0" distB="0" distL="0" distR="0" wp14:anchorId="58F340E6" wp14:editId="070DAE18">
            <wp:extent cx="7019925" cy="5439280"/>
            <wp:effectExtent l="0" t="0" r="0" b="9525"/>
            <wp:docPr id="29" name="Obraz 29" descr="Przekrój 2 uwzględniający podoświetlenie LED:&#10;D1: poliwęglan o gr. 6mm; kołnież z tektury falistej dwuwarstwowej o gr. 7mm wg detalu D1; poliwęglan mleczny o gr. 6mm; kołnież z tektury falistej dwuwarstwowej o gr. 7mm; taśma LED; płyta mdf surowa o gr. 12mm; &#10;&#10;tujela tekturowa spiralna o gr 6mm; przewód zasilający&#10;&#10;D2: obciążene obiektu - worek z piaskiem; pływa mdf surowa o gr 18mm; pływa gumowa EPDM gr. 6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4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CB" w:rsidRDefault="008876D0" w:rsidP="00B671CB">
      <w:r>
        <w:lastRenderedPageBreak/>
        <w:t xml:space="preserve">19. </w:t>
      </w:r>
      <w:r w:rsidR="00B671CB">
        <w:rPr>
          <w:noProof/>
          <w:lang w:eastAsia="pl-PL"/>
        </w:rPr>
        <w:drawing>
          <wp:inline distT="0" distB="0" distL="0" distR="0" wp14:anchorId="32DC8FD5" wp14:editId="5286B24C">
            <wp:extent cx="7653679" cy="5676900"/>
            <wp:effectExtent l="0" t="0" r="4445" b="0"/>
            <wp:docPr id="30" name="Obraz 30" descr="Przekrój 3 powiększenie przektoru 2&#10;&#10;D1: poliwęglan o gr. 6mm mocowany na wcisk; kołnież z tektury falistej dwuwarstwowej o gr. 7mm; tektura w kolorze z nadrukiem tekstowym (kolory wg projektu wystawy czasowej); poliwęglan mleczny o gr. 6mm; kołnież z tektury falistej dwuwarstwowej o gr. 7mm; taśma LED; mocowanie półki na śrubę; płyta mdf surowa o gr. 12mm; &#10;&#10;tujela tekturowa spiralna o gr 6mm; przewód zasilający&#10;&#10;D2: obciążene obiektu - płyta mdf surowa o gr 18mm; pływa gumowa EPDM gr. 6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028" cy="568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48" w:rsidRDefault="008876D0" w:rsidP="00CC0AFC">
      <w:r>
        <w:lastRenderedPageBreak/>
        <w:t>20.</w:t>
      </w:r>
      <w:r w:rsidR="00190D48">
        <w:rPr>
          <w:noProof/>
          <w:lang w:eastAsia="pl-PL"/>
        </w:rPr>
        <w:drawing>
          <wp:inline distT="0" distB="0" distL="0" distR="0" wp14:anchorId="1472F83C" wp14:editId="19A9DB7C">
            <wp:extent cx="8811909" cy="5295900"/>
            <wp:effectExtent l="0" t="0" r="8255" b="0"/>
            <wp:docPr id="31" name="Obraz 31" descr="Przekrój 5, 1:2, łączenie gablot&#10;Klips metalowy, sprężynujący, czary, łączy warstwy tulei tekturowej spiralnej o grubości 6mm, w tuleję wkejony jest kołnierz z tektury falistej dwowarstwowej o gr.. 7mm, na której leży tafla poliwęglanu o gr. 6mm, mocowanego na wcisk&#10;&#10;Fragment rzutu 1:2, łączenie - widok z góry na opisany wyżej połączenie gablot &#10;&#10;Fragment rzutu 1:1, łączenie - widok z góry na opisany wyżej połączenie gablot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17" cy="529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821" w:rsidRDefault="00F42821" w:rsidP="00CC0AFC">
      <w:pPr>
        <w:sectPr w:rsidR="00F42821" w:rsidSect="00F4282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F42821" w:rsidRDefault="00F42821" w:rsidP="00CC0AFC"/>
    <w:p w:rsidR="00190D48" w:rsidRDefault="008876D0" w:rsidP="00CC0AFC">
      <w:r>
        <w:t xml:space="preserve">21. </w:t>
      </w:r>
      <w:r w:rsidR="00190D48">
        <w:rPr>
          <w:noProof/>
          <w:lang w:eastAsia="pl-PL"/>
        </w:rPr>
        <w:drawing>
          <wp:inline distT="0" distB="0" distL="0" distR="0" wp14:anchorId="523B252B" wp14:editId="420DD470">
            <wp:extent cx="4752975" cy="8192914"/>
            <wp:effectExtent l="0" t="0" r="0" b="0"/>
            <wp:docPr id="32" name="Obraz 32" descr="Przekrój stojaka o wysokości 216 cm, zbodowanego z rury stalowej o śr. 1/2&quot;, malowanej proszkowo na biało oraz z pręta stalowego gwintowanego o śr. 0,5cm&#10;&#10;Detal D3 - półeczka na stojaku. Budowa półki: płyta MDF o śr. 30 cm i gr. 8mm; tuleja teksturowa o śr 30cm, spiralna o gr. 6mm, oklejona na biało; taśma LED; poliwęglan mleczny o śr. 30cm, grubości 6mm, otwór na środku o śr. 0,6cm&#10;&#10;Detal D4 - podstawa stojaka: bloczek betonowy o śr 10cm, wys. 20cm, podklejony płytą gumowaną EPDM gr. 6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819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48" w:rsidRDefault="00190D48" w:rsidP="00CC0AFC"/>
    <w:p w:rsidR="00190D48" w:rsidRDefault="00190D48" w:rsidP="00CC0AFC"/>
    <w:p w:rsidR="00190D48" w:rsidRDefault="00190D48" w:rsidP="00CC0AFC"/>
    <w:p w:rsidR="00190D48" w:rsidRDefault="00190D48" w:rsidP="00CC0AFC"/>
    <w:p w:rsidR="00190D48" w:rsidRDefault="00190D48" w:rsidP="00CC0AFC"/>
    <w:p w:rsidR="00190D48" w:rsidRDefault="00190D48" w:rsidP="00CC0AFC">
      <w:bookmarkStart w:id="0" w:name="_GoBack"/>
      <w:r>
        <w:rPr>
          <w:noProof/>
          <w:lang w:eastAsia="pl-PL"/>
        </w:rPr>
        <w:drawing>
          <wp:inline distT="0" distB="0" distL="0" distR="0" wp14:anchorId="279BA328" wp14:editId="18CF008A">
            <wp:extent cx="6376513" cy="6134100"/>
            <wp:effectExtent l="0" t="0" r="5715" b="0"/>
            <wp:docPr id="33" name="Obraz 33" descr="Przekrój Detalu D3: płyta MDF o śr. 30 cm i gr. 8mm; tuleja teksturowa o śr 30cm, spiralna o gr. 6mm, oklejona na biało; taśma LED; poliwęglan mleczny o śr. 30cm, grubości 6mm, otwór na środku o śr. 0,6cm; rura stalowa o śr. 12&quot; malowana proszkowo na biało&#10;&#10;&#10;Przekrój Detalu D4: bloczek betonowy o śr 10cm, wys. 20cm, podklejony płytą gumowaną EPDM gr. 6m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513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76D0" w:rsidRPr="00CC0AFC" w:rsidRDefault="008876D0" w:rsidP="00CC0AFC">
      <w:r>
        <w:t>22.</w:t>
      </w:r>
    </w:p>
    <w:sectPr w:rsidR="008876D0" w:rsidRPr="00CC0AFC" w:rsidSect="00F428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8E0C42"/>
    <w:multiLevelType w:val="hybridMultilevel"/>
    <w:tmpl w:val="98D6E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476"/>
    <w:rsid w:val="00036E62"/>
    <w:rsid w:val="00157C39"/>
    <w:rsid w:val="00190068"/>
    <w:rsid w:val="00190D48"/>
    <w:rsid w:val="002C2984"/>
    <w:rsid w:val="00380E01"/>
    <w:rsid w:val="004E1272"/>
    <w:rsid w:val="00597F38"/>
    <w:rsid w:val="006705A4"/>
    <w:rsid w:val="006B60C1"/>
    <w:rsid w:val="007E5953"/>
    <w:rsid w:val="00860B4F"/>
    <w:rsid w:val="008876D0"/>
    <w:rsid w:val="008C1FDC"/>
    <w:rsid w:val="009E5119"/>
    <w:rsid w:val="00A21961"/>
    <w:rsid w:val="00B05C27"/>
    <w:rsid w:val="00B671CB"/>
    <w:rsid w:val="00C826B7"/>
    <w:rsid w:val="00CC0AFC"/>
    <w:rsid w:val="00CF0880"/>
    <w:rsid w:val="00E25993"/>
    <w:rsid w:val="00E30476"/>
    <w:rsid w:val="00E820DD"/>
    <w:rsid w:val="00EB39CF"/>
    <w:rsid w:val="00F42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5E70D2-48DD-4519-A4BB-C33C0BF95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E59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0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047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E59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7E59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16</Pages>
  <Words>148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MHZP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Lewandowska Kinga</dc:creator>
  <cp:lastModifiedBy>Cybulska Aleksandra</cp:lastModifiedBy>
  <cp:revision>4</cp:revision>
  <dcterms:created xsi:type="dcterms:W3CDTF">2020-08-20T10:00:00Z</dcterms:created>
  <dcterms:modified xsi:type="dcterms:W3CDTF">2020-08-20T11:49:00Z</dcterms:modified>
</cp:coreProperties>
</file>